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2A2B12" w:rsidRPr="002A2B12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A2B12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2B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2A2B1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2A2B12" w:rsidRDefault="00D76FC9" w:rsidP="00C24D51">
            <w:pPr>
              <w:rPr>
                <w:color w:val="auto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2A2B12" w:rsidRDefault="00D76FC9" w:rsidP="00C24D51">
            <w:pPr>
              <w:jc w:val="center"/>
              <w:rPr>
                <w:color w:val="auto"/>
              </w:rPr>
            </w:pPr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2A2B12" w:rsidRDefault="00D76FC9" w:rsidP="00C24D51">
            <w:pPr>
              <w:jc w:val="center"/>
              <w:rPr>
                <w:color w:val="auto"/>
              </w:rPr>
            </w:pPr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2A2B12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A2B12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391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2A2B12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994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2A2B12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A2B12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1F216B32" w:rsidR="00D76FC9" w:rsidRPr="002A2B12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794779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4</w:t>
      </w:r>
      <w:r w:rsidR="003246D6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7</w:t>
      </w:r>
      <w:r w:rsidR="00B5556C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D76FC9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2E3E4E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3246D6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14</w:t>
      </w:r>
      <w:r w:rsidR="00871A63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A87392" w:rsidRPr="002A2B12">
        <w:rPr>
          <w:rFonts w:ascii="Times New Roman" w:hAnsi="Times New Roman"/>
          <w:b/>
          <w:i/>
          <w:color w:val="auto"/>
          <w:sz w:val="28"/>
          <w:szCs w:val="28"/>
        </w:rPr>
        <w:t>11</w:t>
      </w:r>
      <w:r w:rsidR="00B64039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/2022</w:t>
      </w:r>
      <w:r w:rsidR="00347F70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347F70" w:rsidRPr="002A2B12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CC24F1" w:rsidRPr="002A2B12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FD0A76" w:rsidRPr="002A2B12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8F4E16" w:rsidRPr="002A2B12">
        <w:rPr>
          <w:rFonts w:ascii="Times New Roman" w:hAnsi="Times New Roman"/>
          <w:b/>
          <w:i/>
          <w:color w:val="auto"/>
          <w:sz w:val="28"/>
          <w:szCs w:val="28"/>
        </w:rPr>
        <w:t>20</w:t>
      </w:r>
      <w:r w:rsidR="00B76012" w:rsidRPr="002A2B12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5E42D0" w:rsidRPr="002A2B12">
        <w:rPr>
          <w:rFonts w:ascii="Times New Roman" w:hAnsi="Times New Roman"/>
          <w:b/>
          <w:i/>
          <w:color w:val="auto"/>
          <w:sz w:val="28"/>
          <w:szCs w:val="28"/>
        </w:rPr>
        <w:t>11</w:t>
      </w:r>
      <w:r w:rsidR="00B76012" w:rsidRPr="002A2B12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967AE" w:rsidRPr="002A2B12">
        <w:rPr>
          <w:rFonts w:ascii="Times New Roman" w:hAnsi="Times New Roman"/>
          <w:b/>
          <w:i/>
          <w:color w:val="auto"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2A2B12" w:rsidRPr="002A2B12" w14:paraId="5E729804" w14:textId="77777777" w:rsidTr="00592987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592987" w:rsidRPr="002A2B12" w:rsidRDefault="00592987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2A2B12" w:rsidRPr="002A2B12" w14:paraId="48F61047" w14:textId="77777777" w:rsidTr="00592987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7EFD9E2F" w14:textId="137199A9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14/11/2022</w:t>
            </w:r>
          </w:p>
          <w:p w14:paraId="1815EFBB" w14:textId="49E20118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2409FF" w:rsidRPr="002A2B12" w:rsidRDefault="002409FF" w:rsidP="002971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CCA42A0" w:rsidR="002409FF" w:rsidRPr="002A2B12" w:rsidRDefault="002409FF" w:rsidP="00F62DB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13589225" w:rsidR="002409FF" w:rsidRPr="002A2B12" w:rsidRDefault="002409FF" w:rsidP="000D613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2409FF" w:rsidRPr="002A2B12" w:rsidRDefault="002409FF" w:rsidP="00211CD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2A2B12" w:rsidRPr="002A2B12" w14:paraId="34FDE7B8" w14:textId="77777777" w:rsidTr="00592987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9F69A3C" w14:textId="77777777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87D088" w14:textId="721B8FF4" w:rsidR="002409FF" w:rsidRPr="002A2B12" w:rsidRDefault="002409FF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57B7FD" w14:textId="685CD4CD" w:rsidR="002409FF" w:rsidRPr="002A2B12" w:rsidRDefault="002409FF" w:rsidP="00B96299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Tham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dự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nghị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giao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ban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Ban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Chỉ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Quy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chế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dân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chủ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cơ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sở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Ban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Chỉ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khối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dân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vận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Huyện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ủy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53A42CB" w14:textId="288D12D8" w:rsidR="002409FF" w:rsidRPr="002A2B12" w:rsidRDefault="002409FF" w:rsidP="000825F8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215670" w14:textId="399ECE97" w:rsidR="002409FF" w:rsidRPr="002A2B12" w:rsidRDefault="002409FF" w:rsidP="008179C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uỷ</w:t>
            </w:r>
            <w:proofErr w:type="spellEnd"/>
          </w:p>
        </w:tc>
      </w:tr>
      <w:tr w:rsidR="002A2B12" w:rsidRPr="002A2B12" w14:paraId="48CD9CC7" w14:textId="77777777" w:rsidTr="00592987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087ED8" w14:textId="77777777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F6EA88" w14:textId="0BB10F87" w:rsidR="002409FF" w:rsidRPr="002A2B12" w:rsidRDefault="002409FF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A901084" w14:textId="5D22AC29" w:rsidR="002409FF" w:rsidRPr="002A2B12" w:rsidRDefault="002409FF" w:rsidP="00B9629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xúc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cử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trước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thường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lệ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cuối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2022,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đồng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nhân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khóa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2021 - 2026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xã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Hiệp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Phước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D658C5" w14:textId="49446A74" w:rsidR="002409FF" w:rsidRPr="002A2B12" w:rsidRDefault="002409FF" w:rsidP="000825F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bookmarkStart w:id="0" w:name="_GoBack"/>
            <w:bookmarkEnd w:id="0"/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18359C" w14:textId="497C9EEE" w:rsidR="002409FF" w:rsidRPr="002A2B12" w:rsidRDefault="002409FF" w:rsidP="008179C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</w:p>
        </w:tc>
      </w:tr>
      <w:tr w:rsidR="002A2B12" w:rsidRPr="002A2B12" w14:paraId="264C32C6" w14:textId="77777777" w:rsidTr="00592987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3922A435" w14:textId="2095E9F2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15/11/2022</w:t>
            </w:r>
          </w:p>
          <w:p w14:paraId="10FB4055" w14:textId="77777777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41D97722" w:rsidR="00592987" w:rsidRPr="002A2B12" w:rsidRDefault="00592987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1C8638F8" w:rsidR="00592987" w:rsidRPr="002A2B12" w:rsidRDefault="00592987" w:rsidP="008179C2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huấn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vấn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pháp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giảm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thiểu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rủi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ro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sức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khỏe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thần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thúc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đẩy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sức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khỏe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trong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phổ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348FE6A0" w:rsidR="00592987" w:rsidRPr="002A2B12" w:rsidRDefault="00592987" w:rsidP="00497A9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Thủy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(BDGD),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(TH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TH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Thế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THCS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THCS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80D4EB4" w14:textId="2B79A92A" w:rsidR="00592987" w:rsidRPr="002A2B12" w:rsidRDefault="00592987" w:rsidP="008179C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</w:p>
          <w:p w14:paraId="28D59F47" w14:textId="47D457AE" w:rsidR="00592987" w:rsidRPr="002A2B12" w:rsidRDefault="00592987" w:rsidP="006E74A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2A2B12" w:rsidRPr="002A2B12" w14:paraId="7B318F58" w14:textId="77777777" w:rsidTr="00592987">
        <w:trPr>
          <w:trHeight w:val="73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56234EBE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56C6AF9" w:rsidR="00592987" w:rsidRPr="002A2B12" w:rsidRDefault="00592987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51C56A29" w:rsidR="00592987" w:rsidRPr="002A2B12" w:rsidRDefault="00592987" w:rsidP="005830F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thức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chất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lượng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nhận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Tuy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Vương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 8 (2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4E83A142" w:rsidR="00592987" w:rsidRPr="002A2B12" w:rsidRDefault="00592987" w:rsidP="005830F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5822C49" w:rsidR="00592987" w:rsidRPr="002A2B12" w:rsidRDefault="00592987" w:rsidP="005830F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Tuy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Vương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 8.</w:t>
            </w:r>
          </w:p>
        </w:tc>
      </w:tr>
      <w:tr w:rsidR="002A2B12" w:rsidRPr="002A2B12" w14:paraId="5859BD35" w14:textId="77777777" w:rsidTr="00592987">
        <w:trPr>
          <w:trHeight w:val="73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26F5FB1" w14:textId="77777777" w:rsidR="002409FF" w:rsidRPr="002A2B12" w:rsidRDefault="002409FF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6E4CB" w14:textId="15B82FB7" w:rsidR="002409FF" w:rsidRPr="002A2B12" w:rsidRDefault="002409FF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73EAE8" w14:textId="40210D1F" w:rsidR="002409FF" w:rsidRPr="002A2B12" w:rsidRDefault="002409FF" w:rsidP="005830F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cán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giảm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nghèo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bền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vững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trưởng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tự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giảm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nghèo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bền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vững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0791BD" w14:textId="43122CAC" w:rsidR="002409FF" w:rsidRPr="002A2B12" w:rsidRDefault="002409FF" w:rsidP="005830F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6EAFC3" w14:textId="581CE957" w:rsidR="002409FF" w:rsidRPr="002A2B12" w:rsidRDefault="002409FF" w:rsidP="005830F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2A2B12" w:rsidRPr="002A2B12" w14:paraId="44D8442F" w14:textId="77777777" w:rsidTr="00592987">
        <w:trPr>
          <w:trHeight w:val="52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D308BE7" w14:textId="77777777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740B82" w14:textId="48FAEE04" w:rsidR="00592987" w:rsidRPr="002A2B12" w:rsidRDefault="00592987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0EA7E53" w14:textId="2022D260" w:rsidR="00592987" w:rsidRPr="002A2B12" w:rsidRDefault="00592987" w:rsidP="005830F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CB, CC, VC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2022-2023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FD18FB" w14:textId="28A61824" w:rsidR="00592987" w:rsidRPr="002A2B12" w:rsidRDefault="00592987" w:rsidP="005830F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B4456D" w14:textId="74CAE1D7" w:rsidR="00592987" w:rsidRPr="002A2B12" w:rsidRDefault="00592987" w:rsidP="005830F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Dương</w:t>
            </w:r>
            <w:proofErr w:type="spellEnd"/>
          </w:p>
        </w:tc>
      </w:tr>
      <w:tr w:rsidR="002A2B12" w:rsidRPr="002A2B12" w14:paraId="50F3DBAE" w14:textId="77777777" w:rsidTr="00592987">
        <w:trPr>
          <w:trHeight w:val="687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6E2F7B49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067E2313" w14:textId="6431FB65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16/11/2022</w:t>
            </w:r>
          </w:p>
          <w:p w14:paraId="614F910F" w14:textId="61AF3C65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3AA84C08" w:rsidR="00592987" w:rsidRPr="002A2B12" w:rsidRDefault="00592987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D5E2115" w:rsidR="00592987" w:rsidRPr="002A2B12" w:rsidRDefault="00592987" w:rsidP="004364E9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mặt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lưu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Trái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tim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Người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Thầy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chào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mừng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kỷ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niệm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Việt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Nam 20/11/1982-20/11/2022.</w:t>
            </w:r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022414B" w:rsidR="00592987" w:rsidRPr="002A2B12" w:rsidRDefault="009B63CC" w:rsidP="00CA1F5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</w:t>
            </w:r>
            <w:r w:rsidR="00592987"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DAE2683" w:rsidR="00592987" w:rsidRPr="002A2B12" w:rsidRDefault="00592987" w:rsidP="00436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Cao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đẳng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Kỹ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TPHCM.</w:t>
            </w:r>
          </w:p>
        </w:tc>
      </w:tr>
      <w:tr w:rsidR="002A2B12" w:rsidRPr="002A2B12" w14:paraId="4F11B665" w14:textId="77777777" w:rsidTr="00592987">
        <w:trPr>
          <w:trHeight w:val="66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92987" w:rsidRPr="002A2B12" w:rsidRDefault="00592987" w:rsidP="0059298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5384E972" w:rsidR="00592987" w:rsidRPr="002A2B12" w:rsidRDefault="00592987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2A7B12C" w:rsidR="00592987" w:rsidRPr="002A2B12" w:rsidRDefault="00592987" w:rsidP="00D61B4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</w:t>
            </w:r>
            <w:r w:rsidRPr="002A2B12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ự</w:t>
            </w:r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Hỗ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trợ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khuyết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tật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hoà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nhập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ở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” (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Cả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0904F6BC" w:rsidR="00592987" w:rsidRPr="002A2B12" w:rsidRDefault="00592987" w:rsidP="00436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BGH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591C4B8" w:rsidR="00592987" w:rsidRPr="002A2B12" w:rsidRDefault="00592987" w:rsidP="004D0C8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qua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nền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tảng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Zoom.</w:t>
            </w:r>
          </w:p>
        </w:tc>
      </w:tr>
      <w:tr w:rsidR="002A2B12" w:rsidRPr="002A2B12" w14:paraId="6BD4EBA0" w14:textId="77777777" w:rsidTr="00592987">
        <w:trPr>
          <w:trHeight w:val="55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CB8EA5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2C5B29" w14:textId="65385216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3B1FA41" w14:textId="33ABD285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</w:rPr>
              <w:t>Họp phân tích đánh giá chất lượng cơ sở đảng, đảng viên chi bộ Phòng Giáo dục và Đào tạo.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DDA5897" w14:textId="61B80A70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C8595E9" w14:textId="6C754785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A2B12" w:rsidRPr="002A2B12" w14:paraId="2362259A" w14:textId="77777777" w:rsidTr="00592987">
        <w:trPr>
          <w:trHeight w:val="88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26CABB23" w14:textId="11E59BC2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17/11/2022</w:t>
            </w:r>
          </w:p>
          <w:p w14:paraId="24F7C010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1BC7C07B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60454A4D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Hiệu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trưởng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Phước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Lộc</w:t>
            </w:r>
            <w:proofErr w:type="spellEnd"/>
            <w:r w:rsidRPr="002A2B12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07774D67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1540/QĐ-GDĐT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01/11/2022.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1B352125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A2B12" w:rsidRPr="002A2B12" w14:paraId="2444BD14" w14:textId="77777777" w:rsidTr="00592987">
        <w:trPr>
          <w:trHeight w:val="889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572780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934C97" w14:textId="1B201790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FEE16B2" w14:textId="155AB127" w:rsidR="00A1568E" w:rsidRPr="002A2B12" w:rsidRDefault="00A1568E" w:rsidP="00A1568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Thẩm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điều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kiện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Bầu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Trời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Xanh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E97C56" w14:textId="534ADE6A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53C8A2" w14:textId="7A4359A7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Bầu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Trời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Xanh</w:t>
            </w:r>
            <w:proofErr w:type="spellEnd"/>
          </w:p>
        </w:tc>
      </w:tr>
      <w:tr w:rsidR="002A2B12" w:rsidRPr="002A2B12" w14:paraId="60D7AE29" w14:textId="77777777" w:rsidTr="00592987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3883B169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5138E8C2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11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14E62852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THCS, BDGD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02F430" w14:textId="77777777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Lan</w:t>
            </w:r>
          </w:p>
          <w:p w14:paraId="3802DCA6" w14:textId="0D9B2C66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2A2B12" w:rsidRPr="002A2B12" w14:paraId="4FEF19D5" w14:textId="76A2DC75" w:rsidTr="00A1568E">
        <w:trPr>
          <w:trHeight w:val="1124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24B65A3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18/11/2022</w:t>
            </w:r>
          </w:p>
          <w:p w14:paraId="56FA30B3" w14:textId="73BAE260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AB22948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9731832" w:rsidR="00A1568E" w:rsidRPr="002A2B12" w:rsidRDefault="00A1568E" w:rsidP="00A1568E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Chương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gặp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gỡ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quản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lý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tiêu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biểu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Kỷ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niệm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Nam (20/11/1982 - 20/11/2022)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5B5E416" w:rsidR="00A1568E" w:rsidRPr="002A2B12" w:rsidRDefault="00A1568E" w:rsidP="00A1568E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1A46BFD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2A2B12" w:rsidRPr="002A2B12" w14:paraId="0CCC4720" w14:textId="77777777" w:rsidTr="00592987">
        <w:trPr>
          <w:trHeight w:val="373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7327C0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C8B47D" w14:textId="7914A9C5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AC0DAAD" w14:textId="28C1D112" w:rsidR="00A1568E" w:rsidRPr="002A2B12" w:rsidRDefault="00A1568E" w:rsidP="00A1568E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Chuẩn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bị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tổ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chức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Lễ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kỷ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niệm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Việt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Nam 20/11/1982-20/11/2022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tuyên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dương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khen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thưởng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Ngành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dục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Đào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tạo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2A2B12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9212B0" w14:textId="2E7E6599" w:rsidR="00A1568E" w:rsidRPr="002A2B12" w:rsidRDefault="00A1568E" w:rsidP="00A1568E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5E3BCBD" w14:textId="420C720D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A2B12" w:rsidRPr="002A2B12" w14:paraId="300CF0FB" w14:textId="77777777" w:rsidTr="00592987">
        <w:trPr>
          <w:trHeight w:val="99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2B3845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4B6333" w14:textId="0E2E10F0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  <w:p w14:paraId="101A7188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82264D" w14:textId="6677529B" w:rsidR="00A1568E" w:rsidRPr="002A2B12" w:rsidRDefault="00A1568E" w:rsidP="00A1568E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Tổ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chức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Lễ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kỷ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niệm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Việt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Nam 20/11/1982 - 20/11/2022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tuyên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dương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khen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thưởng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Ngành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dục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Đào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tạo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2A2B12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04AAF0" w14:textId="55ECE647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DD68DF" w14:textId="0F3FC65E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2A2B12" w:rsidRPr="002A2B12" w14:paraId="204F13F3" w14:textId="77777777" w:rsidTr="00592987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2E999CF3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19/11/2022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73217FE6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782FE500" w:rsidR="00A1568E" w:rsidRPr="002A2B12" w:rsidRDefault="00A1568E" w:rsidP="00A1568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932CF1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78BDC68" w:rsidR="00A1568E" w:rsidRPr="002A2B12" w:rsidRDefault="00A1568E" w:rsidP="00A1568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2A2B12" w:rsidRPr="002A2B12" w14:paraId="437E2E1F" w14:textId="77777777" w:rsidTr="00592987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626F2D0" w:rsidR="00A1568E" w:rsidRPr="002A2B12" w:rsidRDefault="00A1568E" w:rsidP="00A1568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20/11/2022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B0DBAFE" w:rsidR="00A1568E" w:rsidRPr="002A2B12" w:rsidRDefault="00A1568E" w:rsidP="00A15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9AF312E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</w:t>
            </w:r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ự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Kỷ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niệm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Nam (20/11/1982 - 20/11/2022), 25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Giải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thưởng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Võ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Toản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Trao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Giải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thưởng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Võ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Toản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lần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25 - </w:t>
            </w:r>
            <w:proofErr w:type="spellStart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2A2B1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4332B34C" w:rsidR="00A1568E" w:rsidRPr="002A2B12" w:rsidRDefault="00A1568E" w:rsidP="00A1568E">
            <w:pPr>
              <w:pStyle w:val="normal0020table1"/>
              <w:ind w:right="100"/>
              <w:jc w:val="both"/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</w:pPr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Oanh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thành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phần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theo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Thông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báo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số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4253/TB-SGDĐT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ngày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04/11/2022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của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Sở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Giáo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dục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Đào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tạo</w:t>
            </w:r>
            <w:proofErr w:type="spellEnd"/>
            <w:r w:rsidRPr="002A2B12">
              <w:rPr>
                <w:b/>
                <w:bCs/>
                <w:color w:val="auto"/>
                <w:spacing w:val="-6"/>
                <w:sz w:val="22"/>
                <w:szCs w:val="22"/>
                <w:lang w:val="en-US"/>
              </w:rPr>
              <w:t>).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C1D685C" w:rsidR="00A1568E" w:rsidRPr="002A2B12" w:rsidRDefault="00A1568E" w:rsidP="00A1568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Pr="002A2B1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</w:tr>
    </w:tbl>
    <w:p w14:paraId="5B212AF9" w14:textId="4C53DF23" w:rsidR="002735F6" w:rsidRPr="002A2B12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2A2B12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2A2B12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2A2B12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2A2B12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2A2B12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21992"/>
    <w:multiLevelType w:val="hybridMultilevel"/>
    <w:tmpl w:val="6160284C"/>
    <w:lvl w:ilvl="0" w:tplc="C7FA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C51F5"/>
    <w:multiLevelType w:val="hybridMultilevel"/>
    <w:tmpl w:val="D8C21B40"/>
    <w:lvl w:ilvl="0" w:tplc="CFE89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A1EFC"/>
    <w:multiLevelType w:val="hybridMultilevel"/>
    <w:tmpl w:val="DDC09252"/>
    <w:lvl w:ilvl="0" w:tplc="32CAF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2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3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9"/>
  </w:num>
  <w:num w:numId="25">
    <w:abstractNumId w:val="17"/>
  </w:num>
  <w:num w:numId="26">
    <w:abstractNumId w:val="2"/>
  </w:num>
  <w:num w:numId="27">
    <w:abstractNumId w:val="40"/>
  </w:num>
  <w:num w:numId="28">
    <w:abstractNumId w:val="21"/>
  </w:num>
  <w:num w:numId="29">
    <w:abstractNumId w:val="47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4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6"/>
  </w:num>
  <w:num w:numId="45">
    <w:abstractNumId w:val="10"/>
  </w:num>
  <w:num w:numId="46">
    <w:abstractNumId w:val="38"/>
  </w:num>
  <w:num w:numId="47">
    <w:abstractNumId w:val="4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1A92"/>
    <w:rsid w:val="00001C6E"/>
    <w:rsid w:val="00003293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28CE"/>
    <w:rsid w:val="000930E9"/>
    <w:rsid w:val="00093B52"/>
    <w:rsid w:val="00093C3F"/>
    <w:rsid w:val="00096728"/>
    <w:rsid w:val="00097590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47CF"/>
    <w:rsid w:val="001274E5"/>
    <w:rsid w:val="00130361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09FF"/>
    <w:rsid w:val="00245006"/>
    <w:rsid w:val="002450FF"/>
    <w:rsid w:val="002461D5"/>
    <w:rsid w:val="0024635A"/>
    <w:rsid w:val="00247AAE"/>
    <w:rsid w:val="0025057D"/>
    <w:rsid w:val="00250583"/>
    <w:rsid w:val="00251272"/>
    <w:rsid w:val="00251AE9"/>
    <w:rsid w:val="00252FB3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2B12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C27A8"/>
    <w:rsid w:val="002C63FA"/>
    <w:rsid w:val="002C6574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2F65D6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47F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380F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4E9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208"/>
    <w:rsid w:val="004C1353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4665"/>
    <w:rsid w:val="00586C2D"/>
    <w:rsid w:val="00587756"/>
    <w:rsid w:val="005902CF"/>
    <w:rsid w:val="00592352"/>
    <w:rsid w:val="00592987"/>
    <w:rsid w:val="005935A4"/>
    <w:rsid w:val="00594546"/>
    <w:rsid w:val="0059676C"/>
    <w:rsid w:val="00597FE2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FB2"/>
    <w:rsid w:val="005C4F10"/>
    <w:rsid w:val="005C59A7"/>
    <w:rsid w:val="005C68AA"/>
    <w:rsid w:val="005C6D62"/>
    <w:rsid w:val="005C7D13"/>
    <w:rsid w:val="005D0BEA"/>
    <w:rsid w:val="005D1176"/>
    <w:rsid w:val="005D2FDD"/>
    <w:rsid w:val="005D58EB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0BE7"/>
    <w:rsid w:val="00671073"/>
    <w:rsid w:val="006733B1"/>
    <w:rsid w:val="006759DC"/>
    <w:rsid w:val="00675B55"/>
    <w:rsid w:val="00677CE4"/>
    <w:rsid w:val="00680195"/>
    <w:rsid w:val="00680549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65E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4A8"/>
    <w:rsid w:val="006E754F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2C9A"/>
    <w:rsid w:val="00754955"/>
    <w:rsid w:val="007557A6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C19BA"/>
    <w:rsid w:val="007C26D4"/>
    <w:rsid w:val="007C3D60"/>
    <w:rsid w:val="007C3EA2"/>
    <w:rsid w:val="007C490F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538"/>
    <w:rsid w:val="00831B1D"/>
    <w:rsid w:val="00832F00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0D02"/>
    <w:rsid w:val="008C4820"/>
    <w:rsid w:val="008C6156"/>
    <w:rsid w:val="008C7433"/>
    <w:rsid w:val="008D1BA3"/>
    <w:rsid w:val="008D37E1"/>
    <w:rsid w:val="008D4694"/>
    <w:rsid w:val="008D60A0"/>
    <w:rsid w:val="008D7926"/>
    <w:rsid w:val="008E357C"/>
    <w:rsid w:val="008E661A"/>
    <w:rsid w:val="008E7BF0"/>
    <w:rsid w:val="008E7C21"/>
    <w:rsid w:val="008F057D"/>
    <w:rsid w:val="008F0D90"/>
    <w:rsid w:val="008F3395"/>
    <w:rsid w:val="008F4E16"/>
    <w:rsid w:val="008F6F35"/>
    <w:rsid w:val="00903340"/>
    <w:rsid w:val="00903BBE"/>
    <w:rsid w:val="00904AF4"/>
    <w:rsid w:val="0090581D"/>
    <w:rsid w:val="009058DB"/>
    <w:rsid w:val="00905ED1"/>
    <w:rsid w:val="00906D11"/>
    <w:rsid w:val="00907BE1"/>
    <w:rsid w:val="00912B8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36556"/>
    <w:rsid w:val="009404BD"/>
    <w:rsid w:val="00941D75"/>
    <w:rsid w:val="0094321F"/>
    <w:rsid w:val="00946471"/>
    <w:rsid w:val="009467F5"/>
    <w:rsid w:val="00954165"/>
    <w:rsid w:val="00957B61"/>
    <w:rsid w:val="00957C9A"/>
    <w:rsid w:val="00962906"/>
    <w:rsid w:val="009629DB"/>
    <w:rsid w:val="009631AF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57FC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9C1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63CC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568E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6681F"/>
    <w:rsid w:val="00A7134E"/>
    <w:rsid w:val="00A71A45"/>
    <w:rsid w:val="00A73C3A"/>
    <w:rsid w:val="00A74D9E"/>
    <w:rsid w:val="00A763AC"/>
    <w:rsid w:val="00A800AA"/>
    <w:rsid w:val="00A8184D"/>
    <w:rsid w:val="00A83129"/>
    <w:rsid w:val="00A85D64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74E2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2915"/>
    <w:rsid w:val="00B958C6"/>
    <w:rsid w:val="00B96299"/>
    <w:rsid w:val="00BA0FE6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6BFC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B23"/>
    <w:rsid w:val="00C36F05"/>
    <w:rsid w:val="00C379C0"/>
    <w:rsid w:val="00C40966"/>
    <w:rsid w:val="00C42224"/>
    <w:rsid w:val="00C42565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A63"/>
    <w:rsid w:val="00C625D9"/>
    <w:rsid w:val="00C62667"/>
    <w:rsid w:val="00C63575"/>
    <w:rsid w:val="00C64F4B"/>
    <w:rsid w:val="00C67677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60D5"/>
    <w:rsid w:val="00D00C0E"/>
    <w:rsid w:val="00D00E44"/>
    <w:rsid w:val="00D0119A"/>
    <w:rsid w:val="00D017CF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7033A"/>
    <w:rsid w:val="00D70DCE"/>
    <w:rsid w:val="00D7139C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5318"/>
    <w:rsid w:val="00DB585D"/>
    <w:rsid w:val="00DB6CF8"/>
    <w:rsid w:val="00DC0E1B"/>
    <w:rsid w:val="00DC1AEA"/>
    <w:rsid w:val="00DC36C7"/>
    <w:rsid w:val="00DC3C62"/>
    <w:rsid w:val="00DC4248"/>
    <w:rsid w:val="00DC55C7"/>
    <w:rsid w:val="00DC5FB1"/>
    <w:rsid w:val="00DC68CC"/>
    <w:rsid w:val="00DC6D28"/>
    <w:rsid w:val="00DD0E23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46A6"/>
    <w:rsid w:val="00E3787C"/>
    <w:rsid w:val="00E40BCF"/>
    <w:rsid w:val="00E413F7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3295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62A"/>
    <w:rsid w:val="00F0097F"/>
    <w:rsid w:val="00F02333"/>
    <w:rsid w:val="00F02A29"/>
    <w:rsid w:val="00F04BAD"/>
    <w:rsid w:val="00F04F81"/>
    <w:rsid w:val="00F05277"/>
    <w:rsid w:val="00F06D4E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3439"/>
    <w:rsid w:val="00F64156"/>
    <w:rsid w:val="00F652DA"/>
    <w:rsid w:val="00F701D7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9EF"/>
    <w:rsid w:val="00F97261"/>
    <w:rsid w:val="00F97DC1"/>
    <w:rsid w:val="00FA0241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E3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23FF02CB-55CC-41ED-B678-D9C0B13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DDCC-A2DE-470A-90F6-B0A5E0A7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11</cp:revision>
  <cp:lastPrinted>2020-06-18T08:56:00Z</cp:lastPrinted>
  <dcterms:created xsi:type="dcterms:W3CDTF">2022-11-13T13:49:00Z</dcterms:created>
  <dcterms:modified xsi:type="dcterms:W3CDTF">2022-11-13T14:58:00Z</dcterms:modified>
</cp:coreProperties>
</file>